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56" w:rsidRDefault="005C3256" w:rsidP="005C3256">
      <w:pPr>
        <w:spacing w:beforeLines="15" w:before="36" w:line="0" w:lineRule="atLeast"/>
        <w:ind w:leftChars="19" w:left="692" w:hangingChars="269" w:hanging="646"/>
        <w:jc w:val="center"/>
        <w:rPr>
          <w:rFonts w:ascii="Times New Roman" w:eastAsia="標楷體" w:hAnsi="Times New Roman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97CE6" wp14:editId="2159644A">
                <wp:simplePos x="0" y="0"/>
                <wp:positionH relativeFrom="column">
                  <wp:posOffset>8325485</wp:posOffset>
                </wp:positionH>
                <wp:positionV relativeFrom="paragraph">
                  <wp:posOffset>-218440</wp:posOffset>
                </wp:positionV>
                <wp:extent cx="885825" cy="304800"/>
                <wp:effectExtent l="0" t="0" r="28575" b="1905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256" w:rsidRDefault="005C3256" w:rsidP="005C3256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A1345B">
                              <w:t>26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97CE6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655.55pt;margin-top:-17.2pt;width:69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">
                <v:textbox>
                  <w:txbxContent>
                    <w:p w:rsidR="005C3256" w:rsidRDefault="005C3256" w:rsidP="005C3256">
                      <w:r>
                        <w:rPr>
                          <w:rFonts w:hint="eastAsia"/>
                        </w:rPr>
                        <w:t>附件</w:t>
                      </w:r>
                      <w:r w:rsidR="00A1345B">
                        <w:t>26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標楷體" w:hint="eastAsia"/>
          <w:sz w:val="32"/>
          <w:szCs w:val="32"/>
        </w:rPr>
        <w:t>臺南市高級中等以下學校</w:t>
      </w:r>
      <w:r>
        <w:rPr>
          <w:rFonts w:ascii="Times New Roman" w:eastAsia="標楷體" w:hAnsi="Times New Roman"/>
          <w:sz w:val="32"/>
          <w:szCs w:val="32"/>
        </w:rPr>
        <w:t>AQI</w:t>
      </w:r>
      <w:r>
        <w:rPr>
          <w:rFonts w:ascii="Times New Roman" w:eastAsia="標楷體" w:hAnsi="標楷體" w:hint="eastAsia"/>
          <w:sz w:val="32"/>
          <w:szCs w:val="32"/>
        </w:rPr>
        <w:t>指標之活動建議</w:t>
      </w:r>
    </w:p>
    <w:tbl>
      <w:tblPr>
        <w:tblpPr w:leftFromText="180" w:rightFromText="180" w:vertAnchor="page" w:horzAnchor="margin" w:tblpXSpec="center" w:tblpY="1681"/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5"/>
        <w:gridCol w:w="2262"/>
        <w:gridCol w:w="2262"/>
        <w:gridCol w:w="2262"/>
        <w:gridCol w:w="2262"/>
        <w:gridCol w:w="2262"/>
        <w:gridCol w:w="2262"/>
      </w:tblGrid>
      <w:tr w:rsidR="005C3256" w:rsidTr="005830BD">
        <w:trPr>
          <w:trHeight w:val="771"/>
        </w:trPr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AQI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0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～</w:t>
            </w:r>
            <w:r>
              <w:rPr>
                <w:rFonts w:ascii="Times New Roman" w:eastAsia="標楷體" w:hAnsi="Times New Roman"/>
                <w:b/>
                <w:szCs w:val="24"/>
              </w:rPr>
              <w:t>50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51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～</w:t>
            </w:r>
            <w:r>
              <w:rPr>
                <w:rFonts w:ascii="Times New Roman" w:eastAsia="標楷體" w:hAnsi="Times New Roman"/>
                <w:b/>
                <w:szCs w:val="24"/>
              </w:rPr>
              <w:t>100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101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～</w:t>
            </w:r>
            <w:r>
              <w:rPr>
                <w:rFonts w:ascii="Times New Roman" w:eastAsia="標楷體" w:hAnsi="Times New Roman"/>
                <w:b/>
                <w:szCs w:val="24"/>
              </w:rPr>
              <w:t>150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151-200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201-300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301-500</w:t>
            </w:r>
          </w:p>
        </w:tc>
      </w:tr>
      <w:tr w:rsidR="005C3256" w:rsidTr="005830BD">
        <w:trPr>
          <w:trHeight w:val="866"/>
        </w:trPr>
        <w:tc>
          <w:tcPr>
            <w:tcW w:w="128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對健康</w:t>
            </w:r>
          </w:p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的影響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良好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普通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對敏感族群不良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對所有族群不良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非常不良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有害</w:t>
            </w:r>
          </w:p>
        </w:tc>
      </w:tr>
      <w:tr w:rsidR="005C3256" w:rsidTr="005830BD">
        <w:trPr>
          <w:trHeight w:val="992"/>
        </w:trPr>
        <w:tc>
          <w:tcPr>
            <w:tcW w:w="128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256" w:rsidRDefault="005C3256" w:rsidP="00043BD3">
            <w:pPr>
              <w:widowControl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Good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Moderate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 xml:space="preserve">Unhealthful for </w:t>
            </w:r>
          </w:p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Sensitive Groups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Unhealthful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Very Unhealthful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Hazardous</w:t>
            </w:r>
          </w:p>
        </w:tc>
      </w:tr>
      <w:tr w:rsidR="005C3256" w:rsidTr="005830BD">
        <w:trPr>
          <w:trHeight w:val="724"/>
        </w:trPr>
        <w:tc>
          <w:tcPr>
            <w:tcW w:w="12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代表顏色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綠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黃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橘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紅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紫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632423"/>
            <w:tcMar>
              <w:top w:w="15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>
              <w:rPr>
                <w:rFonts w:ascii="Times New Roman" w:eastAsia="標楷體" w:hAnsi="標楷體" w:hint="eastAsia"/>
                <w:b/>
                <w:sz w:val="32"/>
                <w:szCs w:val="32"/>
              </w:rPr>
              <w:t>褐紅</w:t>
            </w:r>
          </w:p>
        </w:tc>
      </w:tr>
      <w:tr w:rsidR="005C3256" w:rsidTr="005830BD">
        <w:trPr>
          <w:trHeight w:val="2849"/>
        </w:trPr>
        <w:tc>
          <w:tcPr>
            <w:tcW w:w="12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一般學生</w:t>
            </w:r>
          </w:p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活動建議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正常戶外活動。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C3256" w:rsidRDefault="005C3256" w:rsidP="00043BD3">
            <w:pPr>
              <w:snapToGrid w:val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正常戶外活動。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標楷體"/>
                <w:b/>
                <w:szCs w:val="24"/>
              </w:rPr>
            </w:pP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標楷體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◎學生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仍可進行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戶外活動，但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建議減少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長時間劇烈運動。</w:t>
            </w: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◎可進行輕度、中度運動，惟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重度運動應停止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。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標楷體"/>
                <w:b/>
                <w:szCs w:val="24"/>
              </w:rPr>
            </w:pP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◎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得停止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戶外活動，並將課程調整於室內進行。</w:t>
            </w: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◎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可進行輕度運動，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惟中度及重度運動應停止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。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標楷體"/>
                <w:b/>
                <w:szCs w:val="24"/>
              </w:rPr>
            </w:pP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◎學生應立即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停止戶外活動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，並將課程調整於室內進行。</w:t>
            </w: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◎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禁止輕度、中度及重度運動。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C3256" w:rsidRDefault="005C3256" w:rsidP="00043BD3">
            <w:pPr>
              <w:ind w:left="312" w:hangingChars="130" w:hanging="312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◎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學生應立即</w:t>
            </w:r>
            <w:r>
              <w:rPr>
                <w:rFonts w:ascii="Times New Roman" w:eastAsia="標楷體" w:hAnsi="標楷體" w:hint="eastAsia"/>
                <w:b/>
                <w:szCs w:val="24"/>
                <w:u w:val="single"/>
              </w:rPr>
              <w:t>停止戶外活動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，並將課程調整於室內進行。</w:t>
            </w:r>
          </w:p>
          <w:p w:rsidR="005C3256" w:rsidRDefault="005C3256" w:rsidP="00043BD3">
            <w:pPr>
              <w:ind w:left="312" w:hangingChars="130" w:hanging="31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◎</w:t>
            </w:r>
            <w:r>
              <w:rPr>
                <w:rFonts w:ascii="Times New Roman" w:eastAsia="標楷體" w:hAnsi="標楷體" w:hint="eastAsia"/>
                <w:b/>
                <w:szCs w:val="24"/>
              </w:rPr>
              <w:t>禁止輕度、中度及重度運動。</w:t>
            </w:r>
          </w:p>
        </w:tc>
      </w:tr>
    </w:tbl>
    <w:p w:rsidR="005C3256" w:rsidRDefault="005C3256" w:rsidP="005C3256">
      <w:pPr>
        <w:tabs>
          <w:tab w:val="left" w:pos="1728"/>
        </w:tabs>
        <w:spacing w:line="48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ab/>
      </w:r>
    </w:p>
    <w:sectPr w:rsidR="005C3256" w:rsidSect="005830BD">
      <w:pgSz w:w="16838" w:h="11906" w:orient="landscape"/>
      <w:pgMar w:top="794" w:right="1304" w:bottom="794" w:left="130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36D" w:rsidRDefault="002B736D" w:rsidP="001835BF">
      <w:r>
        <w:separator/>
      </w:r>
    </w:p>
  </w:endnote>
  <w:endnote w:type="continuationSeparator" w:id="0">
    <w:p w:rsidR="002B736D" w:rsidRDefault="002B736D" w:rsidP="0018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36D" w:rsidRDefault="002B736D" w:rsidP="001835BF">
      <w:r>
        <w:separator/>
      </w:r>
    </w:p>
  </w:footnote>
  <w:footnote w:type="continuationSeparator" w:id="0">
    <w:p w:rsidR="002B736D" w:rsidRDefault="002B736D" w:rsidP="00183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1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56"/>
    <w:rsid w:val="001827E0"/>
    <w:rsid w:val="001835BF"/>
    <w:rsid w:val="002B736D"/>
    <w:rsid w:val="005830BD"/>
    <w:rsid w:val="005C3256"/>
    <w:rsid w:val="009007B7"/>
    <w:rsid w:val="00A1345B"/>
    <w:rsid w:val="00E9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1D02C"/>
  <w15:chartTrackingRefBased/>
  <w15:docId w15:val="{784E6C66-575A-4087-9B11-14E100A6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25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5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35B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35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35B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835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35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2023-07-14T02:01:00Z</cp:lastPrinted>
  <dcterms:created xsi:type="dcterms:W3CDTF">2022-08-01T02:01:00Z</dcterms:created>
  <dcterms:modified xsi:type="dcterms:W3CDTF">2023-07-24T03:02:00Z</dcterms:modified>
</cp:coreProperties>
</file>